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2.png" ContentType="image/png"/>
  <Override PartName="/word/media/rId120.png" ContentType="image/png"/>
  <Override PartName="/word/media/rId128.png" ContentType="image/png"/>
  <Override PartName="/word/media/rId124.png" ContentType="image/png"/>
  <Override PartName="/word/media/rId27.png" ContentType="image/png"/>
  <Override PartName="/word/media/rId144.png" ContentType="image/png"/>
  <Override PartName="/word/media/rId9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29-04-2024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45206"/>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36 mapped small dams on</w:t>
      </w:r>
      <w:r>
        <w:t xml:space="preserve"> </w:t>
      </w:r>
      <w:r>
        <w:t xml:space="preserve">“</w:t>
      </w:r>
      <w:r>
        <w:t xml:space="preserve">potentially accessible</w:t>
      </w:r>
      <w:r>
        <w:t xml:space="preserve">”</w:t>
      </w:r>
      <w:r>
        <w:t xml:space="preserve"> </w:t>
      </w:r>
      <w:r>
        <w:t xml:space="preserve">stream segments in the watershed, blocking a total of 37.64 km (~7.08%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72 assessed and modelled crossings located on stream segments with modelled habitat. Demographic road crossings (highways, municipal, and paved roads) block 37.64 km of habitat (~7% of the total blocked habitat), with 94% of assessed crossings having been identified as barriers to fish passage. Resource roads block 37.64 km of habitat (~7%), with 94%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3cbb5"/>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74</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38c8c"/>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572f5"/>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1" w:name="barrier-prioritization"/>
    <w:p>
      <w:pPr>
        <w:pStyle w:val="Heading1"/>
      </w:pPr>
      <w:r>
        <w:t xml:space="preserve">Barrier Prioritization</w:t>
      </w:r>
    </w:p>
    <w:bookmarkStart w:id="70"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116.11 km of spawning or rearing habitat (</w:t>
      </w:r>
      <w:hyperlink w:anchor="tbl-table16">
        <w:r>
          <w:rPr>
            <w:rStyle w:val="Hyperlink"/>
          </w:rPr>
          <w:t xml:space="preserve">Table 4</w:t>
        </w:r>
      </w:hyperlink>
      <w:r>
        <w:t xml:space="preserve">):</w:t>
      </w:r>
    </w:p>
    <w:bookmarkStart w:id="64" w:name="tbl-table16"/>
    <w:bookmarkStart w:id="63" w:name="T_0d517"/>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394.46999999999997</w:t>
            </w:r>
          </w:p>
        </w:tc>
        <w:tc>
          <w:tcPr/>
          <w:p>
            <w:pPr>
              <w:pStyle w:val="Compact"/>
              <w:jc w:val="left"/>
            </w:pPr>
            <w:r>
              <w:t xml:space="preserve">531.85</w:t>
            </w:r>
          </w:p>
        </w:tc>
        <w:tc>
          <w:tcPr/>
          <w:p>
            <w:pPr>
              <w:pStyle w:val="Compact"/>
              <w:jc w:val="left"/>
            </w:pPr>
            <w:r>
              <w:t xml:space="preserve">74%</w:t>
            </w:r>
          </w:p>
        </w:tc>
        <w:tc>
          <w:tcPr/>
          <w:p>
            <w:pPr>
              <w:pStyle w:val="Compact"/>
              <w:jc w:val="left"/>
            </w:pPr>
            <w:r>
              <w:t xml:space="preserve">96%</w:t>
            </w:r>
          </w:p>
        </w:tc>
        <w:tc>
          <w:tcPr/>
          <w:p>
            <w:pPr>
              <w:pStyle w:val="Compact"/>
              <w:jc w:val="left"/>
            </w:pPr>
            <w:r>
              <w:t xml:space="preserve">116.11</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bookmarkStart w:id="68" w:name="T_1cdd9"/>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8"/>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bookmarkEnd w:id="70"/>
    <w:bookmarkEnd w:id="71"/>
    <w:bookmarkStart w:id="79" w:name="work-planning"/>
    <w:p>
      <w:pPr>
        <w:pStyle w:val="Heading1"/>
      </w:pPr>
      <w:r>
        <w:t xml:space="preserve">Work Planning</w:t>
      </w:r>
    </w:p>
    <w:bookmarkStart w:id="72" w:name="annual-progress-report"/>
    <w:p>
      <w:pPr>
        <w:pStyle w:val="Heading2"/>
      </w:pPr>
      <w:r>
        <w:t xml:space="preserve">Annual Progress Report</w:t>
      </w:r>
    </w:p>
    <w:bookmarkEnd w:id="72"/>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bookmarkStart w:id="75" w:name="tbl-opplan"/>
    <w:bookmarkStart w:id="74" w:name="T_50657"/>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bookmarkStart w:id="76" w:name="tbl-fund"/>
    <w:p>
      <w:pPr>
        <w:pStyle w:val="BodyText"/>
      </w:pPr>
      <w:r>
        <w:rPr>
          <w:bCs/>
          <w:b/>
        </w:rPr>
        <w:t xml:space="preserve">?(caption)</w:t>
      </w:r>
    </w:p>
    <w:bookmarkEnd w:id="76"/>
    <w:bookmarkEnd w:id="77"/>
    <w:bookmarkStart w:id="78" w:name="annual-work-plan"/>
    <w:p>
      <w:pPr>
        <w:pStyle w:val="Heading2"/>
      </w:pPr>
      <w:r>
        <w:t xml:space="preserve">Annual Work Plan</w:t>
      </w:r>
    </w:p>
    <w:bookmarkEnd w:id="78"/>
    <w:bookmarkEnd w:id="79"/>
    <w:bookmarkStart w:id="91" w:name="references"/>
    <w:p>
      <w:pPr>
        <w:pStyle w:val="Heading1"/>
      </w:pPr>
      <w:r>
        <w:t xml:space="preserve">References</w:t>
      </w:r>
    </w:p>
    <w:bookmarkStart w:id="90" w:name="refs"/>
    <w:bookmarkStart w:id="80"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0"/>
    <w:bookmarkStart w:id="8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1"/>
    <w:bookmarkStart w:id="8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2"/>
    <w:bookmarkStart w:id="8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3"/>
    <w:bookmarkStart w:id="8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4"/>
    <w:bookmarkStart w:id="85"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5"/>
    <w:bookmarkStart w:id="86"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6"/>
    <w:bookmarkStart w:id="87"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7"/>
    <w:bookmarkStart w:id="88"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8"/>
    <w:bookmarkStart w:id="89"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9"/>
    <w:bookmarkEnd w:id="90"/>
    <w:bookmarkEnd w:id="91"/>
    <w:bookmarkStart w:id="93" w:name="version-history"/>
    <w:p>
      <w:pPr>
        <w:pStyle w:val="Heading1"/>
      </w:pPr>
      <w:r>
        <w:t xml:space="preserve">Version History</w:t>
      </w:r>
    </w:p>
    <w:p>
      <w:pPr>
        <w:pStyle w:val="FirstParagraph"/>
      </w:pPr>
      <w:hyperlink r:id="rId92">
        <w:r>
          <w:rPr>
            <w:rStyle w:val="Hyperlink"/>
          </w:rPr>
          <w:t xml:space="preserve">v.1.0 – March 2024</w:t>
        </w:r>
      </w:hyperlink>
    </w:p>
    <w:bookmarkEnd w:id="93"/>
    <w:bookmarkStart w:id="98" w:name="project-partners"/>
    <w:p>
      <w:pPr>
        <w:pStyle w:val="Heading1"/>
      </w:pPr>
      <w:r>
        <w:t xml:space="preserve">Project Partners</w:t>
      </w:r>
    </w:p>
    <w:bookmarkStart w:id="95" w:name="planning-team"/>
    <w:p>
      <w:pPr>
        <w:pStyle w:val="Heading2"/>
      </w:pPr>
      <w:r>
        <w:t xml:space="preserve">Planning Team</w:t>
      </w:r>
    </w:p>
    <w:bookmarkStart w:id="94"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4"/>
    <w:bookmarkEnd w:id="95"/>
    <w:bookmarkStart w:id="97" w:name="key-actors"/>
    <w:p>
      <w:pPr>
        <w:pStyle w:val="Heading2"/>
      </w:pPr>
      <w:r>
        <w:t xml:space="preserve">Key Actors</w:t>
      </w:r>
    </w:p>
    <w:bookmarkStart w:id="96"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6"/>
    <w:bookmarkEnd w:id="97"/>
    <w:bookmarkEnd w:id="98"/>
    <w:bookmarkStart w:id="142" w:name="supplementary-information"/>
    <w:p>
      <w:pPr>
        <w:pStyle w:val="Heading1"/>
      </w:pPr>
      <w:r>
        <w:t xml:space="preserve">Supplementary Information</w:t>
      </w:r>
    </w:p>
    <w:bookmarkStart w:id="103"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2" w:name="fig-sitan"/>
          <w:p>
            <w:pPr>
              <w:jc w:val="center"/>
            </w:pPr>
            <w:r>
              <w:drawing>
                <wp:inline>
                  <wp:extent cx="5334000" cy="3313305"/>
                  <wp:effectExtent b="0" l="0" r="0" t="0"/>
                  <wp:docPr descr="" title="" id="100" name="Picture"/>
                  <a:graphic>
                    <a:graphicData uri="http://schemas.openxmlformats.org/drawingml/2006/picture">
                      <pic:pic>
                        <pic:nvPicPr>
                          <pic:cNvPr descr="content/images/situation-analysis.png" id="101" name="Picture"/>
                          <pic:cNvPicPr>
                            <a:picLocks noChangeArrowheads="1" noChangeAspect="1"/>
                          </pic:cNvPicPr>
                        </pic:nvPicPr>
                        <pic:blipFill>
                          <a:blip r:embed="rId99"/>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02"/>
        </w:tc>
      </w:tr>
    </w:tbl>
    <w:bookmarkEnd w:id="103"/>
    <w:bookmarkStart w:id="104"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4"/>
    <w:bookmarkStart w:id="107" w:name="strategy-1-crossing-remediation"/>
    <w:p>
      <w:pPr>
        <w:pStyle w:val="Heading2"/>
      </w:pPr>
      <w:r>
        <w:t xml:space="preserve">Strategy 1: Crossing Remediation</w:t>
      </w:r>
    </w:p>
    <w:bookmarkStart w:id="106" w:name="tbl-S1"/>
    <w:bookmarkStart w:id="105" w:name="T_9658f"/>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5"/>
    <w:bookmarkEnd w:id="106"/>
    <w:bookmarkEnd w:id="107"/>
    <w:bookmarkStart w:id="110" w:name="strategy-2-lateral-barrier-remediation"/>
    <w:p>
      <w:pPr>
        <w:pStyle w:val="Heading2"/>
      </w:pPr>
      <w:r>
        <w:t xml:space="preserve">Strategy 2: Lateral Barrier Remediation</w:t>
      </w:r>
    </w:p>
    <w:bookmarkStart w:id="109" w:name="tbl-S2"/>
    <w:bookmarkStart w:id="108" w:name="T_67ca4"/>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8"/>
    <w:bookmarkEnd w:id="109"/>
    <w:bookmarkEnd w:id="110"/>
    <w:bookmarkStart w:id="113" w:name="strategy-3-dam-remediation"/>
    <w:p>
      <w:pPr>
        <w:pStyle w:val="Heading2"/>
      </w:pPr>
      <w:r>
        <w:t xml:space="preserve">Strategy 3: Dam Remediation</w:t>
      </w:r>
    </w:p>
    <w:bookmarkStart w:id="112" w:name="tbl-S3"/>
    <w:bookmarkStart w:id="111" w:name="T_8d47b"/>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1"/>
    <w:bookmarkEnd w:id="112"/>
    <w:bookmarkEnd w:id="113"/>
    <w:bookmarkStart w:id="116" w:name="strategy-4-barrier-prevention"/>
    <w:p>
      <w:pPr>
        <w:pStyle w:val="Heading2"/>
      </w:pPr>
      <w:r>
        <w:t xml:space="preserve">Strategy 4: Barrier Prevention</w:t>
      </w:r>
    </w:p>
    <w:bookmarkStart w:id="115" w:name="tbl-S4"/>
    <w:bookmarkStart w:id="114" w:name="T_618ca"/>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4"/>
    <w:bookmarkEnd w:id="115"/>
    <w:bookmarkEnd w:id="116"/>
    <w:bookmarkStart w:id="119" w:name="strategy-5-communication-and-education"/>
    <w:p>
      <w:pPr>
        <w:pStyle w:val="Heading2"/>
      </w:pPr>
      <w:r>
        <w:t xml:space="preserve">Strategy 5: Communication and Education</w:t>
      </w:r>
    </w:p>
    <w:bookmarkStart w:id="118" w:name="tbl-S5"/>
    <w:bookmarkStart w:id="117" w:name="T_e5eb8"/>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7"/>
    <w:bookmarkEnd w:id="118"/>
    <w:bookmarkEnd w:id="119"/>
    <w:bookmarkStart w:id="136"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3" w:name="fig-stra1"/>
          <w:p>
            <w:pPr>
              <w:jc w:val="center"/>
            </w:pPr>
            <w:r>
              <w:drawing>
                <wp:inline>
                  <wp:extent cx="5334000" cy="2978474"/>
                  <wp:effectExtent b="0" l="0" r="0" t="0"/>
                  <wp:docPr descr="" title="" id="121" name="Picture"/>
                  <a:graphic>
                    <a:graphicData uri="http://schemas.openxmlformats.org/drawingml/2006/picture">
                      <pic:pic>
                        <pic:nvPicPr>
                          <pic:cNvPr descr="content/images/flowchart-crossing-rem.png" id="122" name="Picture"/>
                          <pic:cNvPicPr>
                            <a:picLocks noChangeArrowheads="1" noChangeAspect="1"/>
                          </pic:cNvPicPr>
                        </pic:nvPicPr>
                        <pic:blipFill>
                          <a:blip r:embed="rId120"/>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2"/>
          <w:p>
            <w:pPr>
              <w:jc w:val="center"/>
            </w:pPr>
            <w:r>
              <w:drawing>
                <wp:inline>
                  <wp:extent cx="5334000" cy="3283590"/>
                  <wp:effectExtent b="0" l="0" r="0" t="0"/>
                  <wp:docPr descr="" title="" id="125" name="Picture"/>
                  <a:graphic>
                    <a:graphicData uri="http://schemas.openxmlformats.org/drawingml/2006/picture">
                      <pic:pic>
                        <pic:nvPicPr>
                          <pic:cNvPr descr="content/images/flowchart-lat-bar-rem.png" id="126" name="Picture"/>
                          <pic:cNvPicPr>
                            <a:picLocks noChangeArrowheads="1" noChangeAspect="1"/>
                          </pic:cNvPicPr>
                        </pic:nvPicPr>
                        <pic:blipFill>
                          <a:blip r:embed="rId124"/>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stra3"/>
          <w:p>
            <w:pPr>
              <w:jc w:val="center"/>
            </w:pPr>
            <w:r>
              <w:drawing>
                <wp:inline>
                  <wp:extent cx="5334000" cy="2652452"/>
                  <wp:effectExtent b="0" l="0" r="0" t="0"/>
                  <wp:docPr descr="" title="" id="129" name="Picture"/>
                  <a:graphic>
                    <a:graphicData uri="http://schemas.openxmlformats.org/drawingml/2006/picture">
                      <pic:pic>
                        <pic:nvPicPr>
                          <pic:cNvPr descr="content/images/flowchart-dam-rem.png" id="130" name="Picture"/>
                          <pic:cNvPicPr>
                            <a:picLocks noChangeArrowheads="1" noChangeAspect="1"/>
                          </pic:cNvPicPr>
                        </pic:nvPicPr>
                        <pic:blipFill>
                          <a:blip r:embed="rId128"/>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5" w:name="fig-stra4"/>
          <w:p>
            <w:pPr>
              <w:jc w:val="center"/>
            </w:pPr>
            <w:r>
              <w:drawing>
                <wp:inline>
                  <wp:extent cx="5334000" cy="3229103"/>
                  <wp:effectExtent b="0" l="0" r="0" t="0"/>
                  <wp:docPr descr="" title="" id="133" name="Picture"/>
                  <a:graphic>
                    <a:graphicData uri="http://schemas.openxmlformats.org/drawingml/2006/picture">
                      <pic:pic>
                        <pic:nvPicPr>
                          <pic:cNvPr descr="content/images/flowchart-bar-prevent.png" id="134" name="Picture"/>
                          <pic:cNvPicPr>
                            <a:picLocks noChangeArrowheads="1" noChangeAspect="1"/>
                          </pic:cNvPicPr>
                        </pic:nvPicPr>
                        <pic:blipFill>
                          <a:blip r:embed="rId132"/>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5"/>
        </w:tc>
      </w:tr>
    </w:tbl>
    <w:bookmarkEnd w:id="136"/>
    <w:bookmarkStart w:id="139"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8" w:name="tbl-opplan"/>
    <w:bookmarkStart w:id="137" w:name="T_0758b"/>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7"/>
    <w:bookmarkEnd w:id="138"/>
    <w:bookmarkEnd w:id="139"/>
    <w:bookmarkStart w:id="141" w:name="funding-sources"/>
    <w:p>
      <w:pPr>
        <w:pStyle w:val="Heading2"/>
      </w:pPr>
      <w:r>
        <w:t xml:space="preserve">Funding Sources</w:t>
      </w:r>
    </w:p>
    <w:bookmarkStart w:id="140"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0"/>
    <w:bookmarkEnd w:id="141"/>
    <w:bookmarkEnd w:id="142"/>
    <w:bookmarkStart w:id="151" w:name="data-download-and-methods"/>
    <w:p>
      <w:pPr>
        <w:pStyle w:val="Heading1"/>
      </w:pPr>
      <w:r>
        <w:t xml:space="preserve">Data Download and Methods</w:t>
      </w:r>
    </w:p>
    <w:bookmarkStart w:id="148"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43">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7" w:name="fig-over"/>
          <w:p>
            <w:pPr>
              <w:jc w:val="center"/>
            </w:pPr>
            <w:r>
              <w:drawing>
                <wp:inline>
                  <wp:extent cx="4825573" cy="3918857"/>
                  <wp:effectExtent b="0" l="0" r="0" t="0"/>
                  <wp:docPr descr="" title="" id="145" name="Picture"/>
                  <a:graphic>
                    <a:graphicData uri="http://schemas.openxmlformats.org/drawingml/2006/picture">
                      <pic:pic>
                        <pic:nvPicPr>
                          <pic:cNvPr descr="content/images/overview-map-hors.png" id="146" name="Picture"/>
                          <pic:cNvPicPr>
                            <a:picLocks noChangeArrowheads="1" noChangeAspect="1"/>
                          </pic:cNvPicPr>
                        </pic:nvPicPr>
                        <pic:blipFill>
                          <a:blip r:embed="rId144"/>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47"/>
        </w:tc>
      </w:tr>
    </w:tbl>
    <w:bookmarkEnd w:id="148"/>
    <w:bookmarkStart w:id="150"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9"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2" Target="media/rId132.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27" Target="media/rId27.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2024-04-29T15:46:02Z</dcterms:created>
  <dcterms:modified xsi:type="dcterms:W3CDTF">2024-04-29T15:46:02Z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29-04-2024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